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572DDC">
        <w:rPr>
          <w:rFonts w:ascii="Arial" w:hAnsi="Arial" w:cs="Arial"/>
          <w:b/>
          <w:bCs/>
          <w:sz w:val="24"/>
        </w:rPr>
        <w:t>2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bookmarkStart w:id="0" w:name="_GoBack"/>
      <w:bookmarkEnd w:id="0"/>
      <w:r w:rsidR="00156567" w:rsidRPr="00156567">
        <w:rPr>
          <w:rFonts w:ascii="Arial" w:hAnsi="Arial" w:cs="Arial"/>
          <w:b/>
          <w:bCs/>
          <w:sz w:val="24"/>
          <w:szCs w:val="24"/>
        </w:rPr>
        <w:t>2510244</w:t>
      </w:r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</w:t>
      </w:r>
      <w:r w:rsidR="00572DDC">
        <w:rPr>
          <w:rFonts w:ascii="Arial" w:hAnsi="Arial" w:cs="Arial"/>
          <w:b/>
          <w:bCs/>
          <w:sz w:val="24"/>
        </w:rPr>
        <w:t>7</w:t>
      </w:r>
      <w:r w:rsidRPr="003C0E5A">
        <w:rPr>
          <w:rFonts w:ascii="Arial" w:hAnsi="Arial" w:cs="Arial"/>
          <w:b/>
          <w:bCs/>
          <w:sz w:val="24"/>
        </w:rPr>
        <w:t xml:space="preserve"> - </w:t>
      </w:r>
      <w:r w:rsidR="00572DDC">
        <w:rPr>
          <w:rFonts w:ascii="Arial" w:hAnsi="Arial" w:cs="Arial"/>
          <w:b/>
          <w:bCs/>
          <w:sz w:val="24"/>
        </w:rPr>
        <w:t>21</w:t>
      </w:r>
      <w:r w:rsidRPr="003C0E5A">
        <w:rPr>
          <w:rFonts w:ascii="Arial" w:hAnsi="Arial" w:cs="Arial"/>
          <w:b/>
          <w:bCs/>
          <w:sz w:val="24"/>
        </w:rPr>
        <w:t xml:space="preserve"> </w:t>
      </w:r>
      <w:r w:rsidR="00572DDC">
        <w:rPr>
          <w:rFonts w:ascii="Arial" w:hAnsi="Arial" w:cs="Arial"/>
          <w:b/>
          <w:bCs/>
          <w:sz w:val="24"/>
        </w:rPr>
        <w:t>Novem</w:t>
      </w:r>
      <w:r w:rsidRPr="003C0E5A">
        <w:rPr>
          <w:rFonts w:ascii="Arial" w:hAnsi="Arial" w:cs="Arial"/>
          <w:b/>
          <w:bCs/>
          <w:sz w:val="24"/>
        </w:rPr>
        <w:t xml:space="preserve">ber, 2025, </w:t>
      </w:r>
      <w:r w:rsidR="00572DDC">
        <w:rPr>
          <w:rFonts w:ascii="Arial" w:hAnsi="Arial" w:cs="Arial"/>
          <w:b/>
          <w:bCs/>
          <w:sz w:val="24"/>
        </w:rPr>
        <w:t>Dallas</w:t>
      </w:r>
      <w:r w:rsidRPr="003C0E5A">
        <w:rPr>
          <w:rFonts w:ascii="Arial" w:hAnsi="Arial" w:cs="Arial"/>
          <w:b/>
          <w:bCs/>
          <w:sz w:val="24"/>
        </w:rPr>
        <w:t xml:space="preserve">, </w:t>
      </w:r>
      <w:r w:rsidR="00572DDC">
        <w:rPr>
          <w:rFonts w:ascii="Arial" w:hAnsi="Arial" w:cs="Arial"/>
          <w:b/>
          <w:bCs/>
          <w:sz w:val="24"/>
        </w:rPr>
        <w:t>USA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269" w:rsidRPr="004F7269">
        <w:rPr>
          <w:rFonts w:ascii="Arial" w:hAnsi="Arial" w:cs="Arial"/>
          <w:b/>
        </w:rPr>
        <w:t>K</w:t>
      </w:r>
      <w:r w:rsidR="004F7269">
        <w:rPr>
          <w:rFonts w:ascii="Arial" w:hAnsi="Arial" w:cs="Arial"/>
          <w:b/>
        </w:rPr>
        <w:t>I#</w:t>
      </w:r>
      <w:r w:rsidR="004F7269" w:rsidRPr="004F7269">
        <w:rPr>
          <w:rFonts w:ascii="Arial" w:hAnsi="Arial" w:cs="Arial"/>
          <w:b/>
        </w:rPr>
        <w:t xml:space="preserve">2 </w:t>
      </w:r>
      <w:r w:rsidR="00EB7DAD" w:rsidRPr="00EB7DAD">
        <w:rPr>
          <w:rFonts w:ascii="Arial" w:hAnsi="Arial" w:cs="Arial"/>
          <w:b/>
        </w:rPr>
        <w:t>Interim Conclusion on DO-A Data Routing to AF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EB7DAD">
        <w:rPr>
          <w:rFonts w:ascii="Arial" w:hAnsi="Arial" w:cs="Arial"/>
          <w:i/>
        </w:rPr>
        <w:t>adds Key Issue #2</w:t>
      </w:r>
      <w:r w:rsidR="005E4A2B">
        <w:rPr>
          <w:rFonts w:ascii="Arial" w:hAnsi="Arial" w:cs="Arial"/>
          <w:i/>
        </w:rPr>
        <w:t xml:space="preserve"> </w:t>
      </w:r>
      <w:r w:rsidR="00EB7DAD">
        <w:rPr>
          <w:rFonts w:ascii="Arial" w:hAnsi="Arial" w:cs="Arial"/>
          <w:i/>
        </w:rPr>
        <w:t xml:space="preserve">interim conclusion on </w:t>
      </w:r>
      <w:r w:rsidR="005E4A2B">
        <w:rPr>
          <w:rFonts w:ascii="Arial" w:hAnsi="Arial" w:cs="Arial"/>
          <w:i/>
        </w:rPr>
        <w:t>AF subscription</w:t>
      </w:r>
      <w:r w:rsidR="00EB7DAD">
        <w:rPr>
          <w:rFonts w:ascii="Arial" w:hAnsi="Arial" w:cs="Arial"/>
          <w:i/>
        </w:rPr>
        <w:t xml:space="preserve"> for the </w:t>
      </w:r>
      <w:proofErr w:type="spellStart"/>
      <w:r w:rsidR="00EB7DAD">
        <w:rPr>
          <w:rFonts w:ascii="Arial" w:hAnsi="Arial" w:cs="Arial"/>
          <w:i/>
        </w:rPr>
        <w:t>AIoT</w:t>
      </w:r>
      <w:proofErr w:type="spellEnd"/>
      <w:r w:rsidR="00EB7DAD">
        <w:rPr>
          <w:rFonts w:ascii="Arial" w:hAnsi="Arial" w:cs="Arial"/>
          <w:i/>
        </w:rPr>
        <w:t xml:space="preserve"> Device’s DO-A data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6864CA">
        <w:rPr>
          <w:lang w:eastAsia="zh-CN"/>
        </w:rPr>
        <w:t xml:space="preserve">the </w:t>
      </w:r>
      <w:r w:rsidR="00EB7DAD">
        <w:rPr>
          <w:lang w:eastAsia="zh-CN"/>
        </w:rPr>
        <w:t xml:space="preserve">TR 23.700-30, several solutions propose the </w:t>
      </w:r>
      <w:r w:rsidR="00EB7DAD" w:rsidRPr="00EB7DAD">
        <w:rPr>
          <w:lang w:eastAsia="zh-CN"/>
        </w:rPr>
        <w:t xml:space="preserve">AF subscription for the </w:t>
      </w:r>
      <w:proofErr w:type="spellStart"/>
      <w:r w:rsidR="00EB7DAD" w:rsidRPr="00EB7DAD">
        <w:rPr>
          <w:lang w:eastAsia="zh-CN"/>
        </w:rPr>
        <w:t>AIoT</w:t>
      </w:r>
      <w:proofErr w:type="spellEnd"/>
      <w:r w:rsidR="00EB7DAD" w:rsidRPr="00EB7DAD">
        <w:rPr>
          <w:lang w:eastAsia="zh-CN"/>
        </w:rPr>
        <w:t xml:space="preserve"> Device’s DO-A data</w:t>
      </w:r>
      <w:r w:rsidR="00221C28">
        <w:rPr>
          <w:lang w:eastAsia="zh-CN"/>
        </w:rPr>
        <w:t>:</w:t>
      </w:r>
    </w:p>
    <w:p w:rsidR="00D17140" w:rsidRPr="00CE6B1C" w:rsidRDefault="00B91781" w:rsidP="0030747C">
      <w:pPr>
        <w:rPr>
          <w:rFonts w:eastAsiaTheme="minorEastAsia"/>
          <w:i/>
          <w:lang w:eastAsia="zh-CN"/>
        </w:rPr>
      </w:pPr>
      <w:r w:rsidRPr="00CE6B1C">
        <w:rPr>
          <w:rFonts w:eastAsia="等线"/>
          <w:i/>
        </w:rPr>
        <w:t>Solution</w:t>
      </w:r>
      <w:r w:rsidRPr="00CE6B1C">
        <w:rPr>
          <w:rFonts w:eastAsia="等线" w:hint="eastAsia"/>
          <w:i/>
          <w:lang w:eastAsia="zh-CN"/>
        </w:rPr>
        <w:t xml:space="preserve"> #</w:t>
      </w:r>
      <w:r w:rsidRPr="00CE6B1C">
        <w:rPr>
          <w:rFonts w:eastAsia="等线"/>
          <w:i/>
          <w:lang w:eastAsia="zh-CN"/>
        </w:rPr>
        <w:t>5</w:t>
      </w:r>
      <w:r w:rsidRPr="00CE6B1C">
        <w:rPr>
          <w:rFonts w:eastAsia="等线"/>
          <w:i/>
        </w:rPr>
        <w:t xml:space="preserve">: </w:t>
      </w:r>
      <w:r w:rsidRPr="00CE6B1C">
        <w:rPr>
          <w:rFonts w:eastAsiaTheme="minorEastAsia" w:hint="eastAsia"/>
          <w:i/>
          <w:lang w:eastAsia="zh-CN"/>
        </w:rPr>
        <w:t>DO-A procedure</w:t>
      </w:r>
      <w:r w:rsidRPr="00CE6B1C">
        <w:rPr>
          <w:rFonts w:eastAsiaTheme="minorEastAsia"/>
          <w:i/>
          <w:lang w:eastAsia="zh-CN"/>
        </w:rPr>
        <w:t xml:space="preserve"> with configured routing information:</w:t>
      </w:r>
    </w:p>
    <w:p w:rsidR="00B91781" w:rsidRPr="00CE6B1C" w:rsidRDefault="00B91781" w:rsidP="00B91781">
      <w:pPr>
        <w:pStyle w:val="B1"/>
        <w:tabs>
          <w:tab w:val="left" w:pos="6663"/>
        </w:tabs>
        <w:rPr>
          <w:rFonts w:eastAsiaTheme="minorEastAsia"/>
          <w:i/>
          <w:lang w:eastAsia="zh-CN"/>
        </w:rPr>
      </w:pPr>
      <w:r w:rsidRPr="00CE6B1C">
        <w:rPr>
          <w:rFonts w:eastAsiaTheme="minorEastAsia" w:hint="eastAsia"/>
          <w:i/>
          <w:lang w:eastAsia="zh-CN"/>
        </w:rPr>
        <w:t>-</w:t>
      </w:r>
      <w:r w:rsidRPr="00CE6B1C">
        <w:rPr>
          <w:rFonts w:eastAsiaTheme="minorEastAsia"/>
          <w:i/>
          <w:lang w:eastAsia="zh-CN"/>
        </w:rPr>
        <w:tab/>
        <w:t xml:space="preserve">AF subscribes to the DO-A Data </w:t>
      </w:r>
      <w:r w:rsidRPr="00CE6B1C">
        <w:rPr>
          <w:rFonts w:eastAsiaTheme="minorEastAsia" w:hint="eastAsia"/>
          <w:i/>
          <w:lang w:eastAsia="zh-CN"/>
        </w:rPr>
        <w:t>notify</w:t>
      </w:r>
      <w:r w:rsidRPr="00CE6B1C">
        <w:rPr>
          <w:rFonts w:eastAsiaTheme="minorEastAsia"/>
          <w:i/>
          <w:lang w:eastAsia="zh-CN"/>
        </w:rPr>
        <w:t xml:space="preserve"> by sending a Subscribe Request to the AIOTF (optio</w:t>
      </w:r>
      <w:r w:rsidRPr="00CE6B1C">
        <w:rPr>
          <w:rFonts w:eastAsiaTheme="minorEastAsia" w:hint="eastAsia"/>
          <w:i/>
          <w:lang w:eastAsia="zh-CN"/>
        </w:rPr>
        <w:t>na</w:t>
      </w:r>
      <w:r w:rsidRPr="00CE6B1C">
        <w:rPr>
          <w:rFonts w:eastAsiaTheme="minorEastAsia"/>
          <w:i/>
          <w:lang w:eastAsia="zh-CN"/>
        </w:rPr>
        <w:t>lly via the NEF)</w:t>
      </w:r>
      <w:r w:rsidRPr="00CE6B1C">
        <w:rPr>
          <w:rFonts w:eastAsiaTheme="minorEastAsia" w:hint="eastAsia"/>
          <w:i/>
          <w:lang w:eastAsia="zh-CN"/>
        </w:rPr>
        <w:t>.</w:t>
      </w:r>
    </w:p>
    <w:p w:rsidR="00B91781" w:rsidRPr="00CE6B1C" w:rsidRDefault="00B91781" w:rsidP="00B91781">
      <w:pPr>
        <w:pStyle w:val="B1"/>
        <w:tabs>
          <w:tab w:val="left" w:pos="6663"/>
        </w:tabs>
        <w:rPr>
          <w:rFonts w:eastAsiaTheme="minorEastAsia"/>
          <w:i/>
          <w:lang w:eastAsia="zh-CN"/>
        </w:rPr>
      </w:pPr>
      <w:r w:rsidRPr="00CE6B1C">
        <w:rPr>
          <w:rFonts w:eastAsiaTheme="minorEastAsia" w:hint="eastAsia"/>
          <w:i/>
          <w:lang w:eastAsia="zh-CN"/>
        </w:rPr>
        <w:t>-</w:t>
      </w:r>
      <w:r w:rsidRPr="00CE6B1C">
        <w:rPr>
          <w:rFonts w:eastAsiaTheme="minorEastAsia"/>
          <w:i/>
          <w:lang w:eastAsia="zh-CN"/>
        </w:rPr>
        <w:tab/>
        <w:t xml:space="preserve">AIOTF derives the corresponding AF according to the routing information in the NAS DO-A Data Transfer Request message and the </w:t>
      </w:r>
      <w:r w:rsidRPr="00CE6B1C">
        <w:rPr>
          <w:rFonts w:eastAsiaTheme="minorEastAsia" w:hint="eastAsia"/>
          <w:i/>
          <w:lang w:eastAsia="zh-CN"/>
        </w:rPr>
        <w:t>context generated in DO-A data subscribe procedure.</w:t>
      </w:r>
    </w:p>
    <w:p w:rsidR="00B91781" w:rsidRPr="00CE6B1C" w:rsidRDefault="00B91781" w:rsidP="0030747C">
      <w:pPr>
        <w:rPr>
          <w:rFonts w:eastAsia="MS Mincho"/>
          <w:i/>
        </w:rPr>
      </w:pPr>
      <w:r w:rsidRPr="00CE6B1C">
        <w:rPr>
          <w:i/>
        </w:rPr>
        <w:t xml:space="preserve">Solution #6: Support Reporting operator triggered by events </w:t>
      </w:r>
      <w:r w:rsidRPr="00CE6B1C">
        <w:rPr>
          <w:i/>
          <w:lang w:eastAsia="zh-CN"/>
        </w:rPr>
        <w:t>without registration</w:t>
      </w:r>
      <w:r w:rsidRPr="00CE6B1C">
        <w:rPr>
          <w:i/>
        </w:rPr>
        <w:t xml:space="preserve"> for </w:t>
      </w:r>
      <w:r w:rsidRPr="00CE6B1C">
        <w:rPr>
          <w:i/>
          <w:lang w:eastAsia="zh-CN"/>
        </w:rPr>
        <w:t xml:space="preserve">DO-A </w:t>
      </w:r>
      <w:r w:rsidRPr="00CE6B1C">
        <w:rPr>
          <w:rFonts w:hint="eastAsia"/>
          <w:i/>
          <w:lang w:eastAsia="zh-CN"/>
        </w:rPr>
        <w:t>c</w:t>
      </w:r>
      <w:r w:rsidRPr="00CE6B1C">
        <w:rPr>
          <w:i/>
          <w:lang w:eastAsia="zh-CN"/>
        </w:rPr>
        <w:t xml:space="preserve">apable </w:t>
      </w:r>
      <w:proofErr w:type="spellStart"/>
      <w:r w:rsidRPr="00CE6B1C">
        <w:rPr>
          <w:i/>
          <w:lang w:eastAsia="zh-CN"/>
        </w:rPr>
        <w:t>AIoT</w:t>
      </w:r>
      <w:proofErr w:type="spellEnd"/>
      <w:r w:rsidRPr="00CE6B1C">
        <w:rPr>
          <w:i/>
          <w:lang w:eastAsia="zh-CN"/>
        </w:rPr>
        <w:t xml:space="preserve"> Devices</w:t>
      </w:r>
      <w:r w:rsidR="00CE6B1C" w:rsidRPr="00CE6B1C">
        <w:rPr>
          <w:i/>
          <w:lang w:eastAsia="zh-CN"/>
        </w:rPr>
        <w:t>:</w:t>
      </w:r>
    </w:p>
    <w:p w:rsidR="00EB7DAD" w:rsidRPr="00CE6B1C" w:rsidRDefault="00B91781" w:rsidP="00B91781">
      <w:pPr>
        <w:pStyle w:val="B1"/>
        <w:tabs>
          <w:tab w:val="left" w:pos="6663"/>
        </w:tabs>
        <w:rPr>
          <w:rFonts w:eastAsiaTheme="minorEastAsia"/>
          <w:i/>
          <w:lang w:eastAsia="zh-CN"/>
        </w:rPr>
      </w:pPr>
      <w:r w:rsidRPr="00CE6B1C">
        <w:rPr>
          <w:rFonts w:eastAsiaTheme="minorEastAsia" w:hint="eastAsia"/>
          <w:i/>
          <w:lang w:eastAsia="zh-CN"/>
        </w:rPr>
        <w:t>-</w:t>
      </w:r>
      <w:r w:rsidRPr="00CE6B1C">
        <w:rPr>
          <w:rFonts w:eastAsiaTheme="minorEastAsia"/>
          <w:i/>
          <w:lang w:eastAsia="zh-CN"/>
        </w:rPr>
        <w:tab/>
        <w:t>The AF subscribes to the NEF with the AF information and optional the service area. The NEF selects AIOTF(s), e.g. based on pre-configuration or the service area and subscribes to the selected AIOTF(s).</w:t>
      </w:r>
    </w:p>
    <w:p w:rsidR="00B91781" w:rsidRPr="00CE6B1C" w:rsidRDefault="00CE6B1C" w:rsidP="0030747C">
      <w:pPr>
        <w:rPr>
          <w:rFonts w:eastAsia="MS Mincho"/>
          <w:i/>
        </w:rPr>
      </w:pPr>
      <w:r w:rsidRPr="00CE6B1C">
        <w:rPr>
          <w:i/>
        </w:rPr>
        <w:t>Solution</w:t>
      </w:r>
      <w:r w:rsidRPr="00CE6B1C">
        <w:rPr>
          <w:rFonts w:hint="eastAsia"/>
          <w:i/>
        </w:rPr>
        <w:t xml:space="preserve"> #</w:t>
      </w:r>
      <w:r w:rsidRPr="00CE6B1C">
        <w:rPr>
          <w:i/>
        </w:rPr>
        <w:t xml:space="preserve">8: Service Procedure for DO-A Capable </w:t>
      </w:r>
      <w:proofErr w:type="spellStart"/>
      <w:r w:rsidRPr="00CE6B1C">
        <w:rPr>
          <w:i/>
        </w:rPr>
        <w:t>AIoT</w:t>
      </w:r>
      <w:proofErr w:type="spellEnd"/>
      <w:r w:rsidRPr="00CE6B1C">
        <w:rPr>
          <w:i/>
        </w:rPr>
        <w:t xml:space="preserve"> Devices:</w:t>
      </w:r>
    </w:p>
    <w:p w:rsidR="00B91781" w:rsidRPr="00CE6B1C" w:rsidRDefault="00CE6B1C" w:rsidP="00CE6B1C">
      <w:pPr>
        <w:pStyle w:val="B1"/>
        <w:tabs>
          <w:tab w:val="left" w:pos="6663"/>
        </w:tabs>
        <w:rPr>
          <w:rFonts w:eastAsiaTheme="minorEastAsia"/>
          <w:i/>
          <w:lang w:eastAsia="zh-CN"/>
        </w:rPr>
      </w:pPr>
      <w:r w:rsidRPr="00CE6B1C">
        <w:rPr>
          <w:rFonts w:eastAsiaTheme="minorEastAsia" w:hint="eastAsia"/>
          <w:i/>
          <w:lang w:eastAsia="zh-CN"/>
        </w:rPr>
        <w:t>-</w:t>
      </w:r>
      <w:r w:rsidRPr="00CE6B1C">
        <w:rPr>
          <w:rFonts w:eastAsiaTheme="minorEastAsia"/>
          <w:i/>
          <w:lang w:eastAsia="zh-CN"/>
        </w:rPr>
        <w:tab/>
        <w:t xml:space="preserve">This solution also proposes call flows for initiating message and DO-A data transfer message. In addition, an AF subscription procedure is provided so that the AF can subscribe the </w:t>
      </w:r>
      <w:proofErr w:type="spellStart"/>
      <w:r w:rsidRPr="00CE6B1C">
        <w:rPr>
          <w:rFonts w:eastAsiaTheme="minorEastAsia"/>
          <w:i/>
          <w:lang w:eastAsia="zh-CN"/>
        </w:rPr>
        <w:t>AIoT</w:t>
      </w:r>
      <w:proofErr w:type="spellEnd"/>
      <w:r w:rsidRPr="00CE6B1C">
        <w:rPr>
          <w:rFonts w:eastAsiaTheme="minorEastAsia"/>
          <w:i/>
          <w:lang w:eastAsia="zh-CN"/>
        </w:rPr>
        <w:t xml:space="preserve"> data from a specific AIOT Device.</w:t>
      </w:r>
    </w:p>
    <w:p w:rsidR="00B91781" w:rsidRPr="00CE6B1C" w:rsidRDefault="00CE6B1C" w:rsidP="0030747C">
      <w:pPr>
        <w:rPr>
          <w:i/>
        </w:rPr>
      </w:pPr>
      <w:r w:rsidRPr="00CE6B1C">
        <w:rPr>
          <w:i/>
        </w:rPr>
        <w:t>Solution</w:t>
      </w:r>
      <w:r w:rsidRPr="00CE6B1C">
        <w:rPr>
          <w:rFonts w:hint="eastAsia"/>
          <w:i/>
        </w:rPr>
        <w:t xml:space="preserve"> #</w:t>
      </w:r>
      <w:r w:rsidRPr="00CE6B1C">
        <w:rPr>
          <w:i/>
        </w:rPr>
        <w:t>10: DO-A Data Delivery and Routing:</w:t>
      </w:r>
    </w:p>
    <w:p w:rsidR="00CE6B1C" w:rsidRPr="00CE6B1C" w:rsidRDefault="00CE6B1C" w:rsidP="00CE6B1C">
      <w:pPr>
        <w:pStyle w:val="B1"/>
        <w:rPr>
          <w:i/>
        </w:rPr>
      </w:pPr>
      <w:r w:rsidRPr="00CE6B1C">
        <w:rPr>
          <w:i/>
        </w:rPr>
        <w:t>-</w:t>
      </w:r>
      <w:r w:rsidRPr="00CE6B1C">
        <w:rPr>
          <w:i/>
        </w:rPr>
        <w:tab/>
        <w:t xml:space="preserve">The target </w:t>
      </w:r>
      <w:proofErr w:type="gramStart"/>
      <w:r w:rsidRPr="00CE6B1C">
        <w:rPr>
          <w:i/>
        </w:rPr>
        <w:t>address(</w:t>
      </w:r>
      <w:proofErr w:type="spellStart"/>
      <w:proofErr w:type="gramEnd"/>
      <w:r w:rsidRPr="00CE6B1C">
        <w:rPr>
          <w:i/>
        </w:rPr>
        <w:t>es</w:t>
      </w:r>
      <w:proofErr w:type="spellEnd"/>
      <w:r w:rsidRPr="00CE6B1C">
        <w:rPr>
          <w:i/>
        </w:rPr>
        <w:t xml:space="preserve">) of the </w:t>
      </w:r>
      <w:proofErr w:type="spellStart"/>
      <w:r w:rsidRPr="00CE6B1C">
        <w:rPr>
          <w:i/>
        </w:rPr>
        <w:t>AIoT</w:t>
      </w:r>
      <w:proofErr w:type="spellEnd"/>
      <w:r w:rsidRPr="00CE6B1C">
        <w:rPr>
          <w:i/>
        </w:rPr>
        <w:t xml:space="preserve"> device are stored in the </w:t>
      </w:r>
      <w:proofErr w:type="spellStart"/>
      <w:r w:rsidRPr="00CE6B1C">
        <w:rPr>
          <w:i/>
        </w:rPr>
        <w:t>AIoT</w:t>
      </w:r>
      <w:proofErr w:type="spellEnd"/>
      <w:r w:rsidRPr="00CE6B1C">
        <w:rPr>
          <w:i/>
        </w:rPr>
        <w:t xml:space="preserve"> Device Profile data, which are provided in the subscribe request from the AF.</w:t>
      </w:r>
    </w:p>
    <w:p w:rsidR="00CE6B1C" w:rsidRPr="00CE6B1C" w:rsidRDefault="00CE6B1C" w:rsidP="0030747C">
      <w:pPr>
        <w:rPr>
          <w:i/>
        </w:rPr>
      </w:pPr>
      <w:r w:rsidRPr="00CE6B1C">
        <w:rPr>
          <w:rFonts w:eastAsia="等线"/>
          <w:i/>
        </w:rPr>
        <w:t>Solution #11: DO-A device registration and uplink data transmission:</w:t>
      </w:r>
    </w:p>
    <w:p w:rsidR="00CE6B1C" w:rsidRPr="00CE6B1C" w:rsidRDefault="00CE6B1C" w:rsidP="00CE6B1C">
      <w:pPr>
        <w:pStyle w:val="B1"/>
        <w:rPr>
          <w:i/>
        </w:rPr>
      </w:pPr>
      <w:r w:rsidRPr="00CE6B1C">
        <w:rPr>
          <w:i/>
        </w:rPr>
        <w:t>-</w:t>
      </w:r>
      <w:r w:rsidRPr="00CE6B1C">
        <w:rPr>
          <w:i/>
        </w:rPr>
        <w:tab/>
      </w:r>
      <w:r w:rsidRPr="00CE6B1C">
        <w:rPr>
          <w:rFonts w:hint="eastAsia"/>
          <w:i/>
        </w:rPr>
        <w:t>ADM is enhanced with the allowed/subscribed AF information, which is used by the AIOTF to determine the target AF for the uplink data transmission from DO-A capable device.</w:t>
      </w:r>
    </w:p>
    <w:p w:rsidR="00B91781" w:rsidRDefault="00B91781" w:rsidP="0030747C">
      <w:pPr>
        <w:rPr>
          <w:rFonts w:eastAsia="MS Mincho"/>
        </w:rPr>
      </w:pPr>
    </w:p>
    <w:p w:rsidR="003112FA" w:rsidRPr="00D17140" w:rsidRDefault="00221C28" w:rsidP="00CE6B1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paper </w:t>
      </w:r>
      <w:r w:rsidR="00CE6B1C">
        <w:rPr>
          <w:rFonts w:eastAsiaTheme="minorEastAsia"/>
          <w:lang w:eastAsia="zh-CN"/>
        </w:rPr>
        <w:t xml:space="preserve">is proposed to add the KI#2 interim conclusion regarding the routing of the </w:t>
      </w:r>
      <w:proofErr w:type="spellStart"/>
      <w:r w:rsidR="00CE6B1C">
        <w:rPr>
          <w:rFonts w:eastAsiaTheme="minorEastAsia"/>
          <w:lang w:eastAsia="zh-CN"/>
        </w:rPr>
        <w:t>AIoT</w:t>
      </w:r>
      <w:proofErr w:type="spellEnd"/>
      <w:r w:rsidR="00CE6B1C">
        <w:rPr>
          <w:rFonts w:eastAsiaTheme="minorEastAsia"/>
          <w:lang w:eastAsia="zh-CN"/>
        </w:rPr>
        <w:t xml:space="preserve"> Device’s DO-A data from the AIOTF to the AF based on the subscription information</w:t>
      </w:r>
      <w:r w:rsidR="00630421">
        <w:rPr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="0071467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14678" w:rsidRPr="00BA0988" w:rsidRDefault="00714678" w:rsidP="00714678">
      <w:pPr>
        <w:pStyle w:val="3"/>
      </w:pPr>
      <w:bookmarkStart w:id="1" w:name="_Toc212027232"/>
      <w:bookmarkStart w:id="2" w:name="_Toc326248711"/>
      <w:bookmarkStart w:id="3" w:name="_Toc22214911"/>
      <w:bookmarkStart w:id="4" w:name="_Toc510604409"/>
      <w:r w:rsidRPr="00BA0988">
        <w:lastRenderedPageBreak/>
        <w:t>7.1.</w:t>
      </w:r>
      <w:r>
        <w:t>2</w:t>
      </w:r>
      <w:r w:rsidRPr="00BA0988">
        <w:tab/>
        <w:t>Agreed Principles for KI#</w:t>
      </w:r>
      <w:bookmarkEnd w:id="1"/>
      <w:r>
        <w:t>2</w:t>
      </w:r>
    </w:p>
    <w:p w:rsidR="00714678" w:rsidRPr="00BA0988" w:rsidRDefault="00714678" w:rsidP="00714678">
      <w:pPr>
        <w:overflowPunct/>
        <w:autoSpaceDE/>
        <w:autoSpaceDN/>
        <w:adjustRightInd/>
        <w:textAlignment w:val="auto"/>
        <w:rPr>
          <w:rFonts w:eastAsia="等线"/>
        </w:rPr>
      </w:pPr>
      <w:r>
        <w:t>The following principles are agreed for Key Issue #2</w:t>
      </w:r>
      <w:r w:rsidRPr="00BA0988">
        <w:rPr>
          <w:rFonts w:eastAsia="等线" w:hint="eastAsia"/>
        </w:rPr>
        <w:t>.</w:t>
      </w:r>
    </w:p>
    <w:p w:rsidR="00714678" w:rsidRPr="00714678" w:rsidRDefault="00714678" w:rsidP="00784AAC">
      <w:pPr>
        <w:rPr>
          <w:rFonts w:eastAsiaTheme="minorEastAsia"/>
          <w:b/>
          <w:lang w:eastAsia="zh-CN"/>
        </w:rPr>
      </w:pPr>
      <w:r w:rsidRPr="00714678">
        <w:rPr>
          <w:rFonts w:eastAsiaTheme="minorEastAsia" w:hint="eastAsia"/>
          <w:b/>
          <w:lang w:eastAsia="zh-CN"/>
        </w:rPr>
        <w:t>D</w:t>
      </w:r>
      <w:r w:rsidRPr="00714678">
        <w:rPr>
          <w:rFonts w:eastAsiaTheme="minorEastAsia"/>
          <w:b/>
          <w:lang w:eastAsia="zh-CN"/>
        </w:rPr>
        <w:t>O-A data routing to AF:</w:t>
      </w:r>
    </w:p>
    <w:p w:rsidR="00714678" w:rsidRDefault="00714678" w:rsidP="00714678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  <w:t xml:space="preserve">The DO-A data of </w:t>
      </w:r>
      <w:proofErr w:type="spellStart"/>
      <w:r>
        <w:rPr>
          <w:rFonts w:eastAsia="等线"/>
          <w:lang w:eastAsia="en-US"/>
        </w:rPr>
        <w:t>AIoT</w:t>
      </w:r>
      <w:proofErr w:type="spellEnd"/>
      <w:r>
        <w:rPr>
          <w:rFonts w:eastAsia="等线"/>
          <w:lang w:eastAsia="en-US"/>
        </w:rPr>
        <w:t xml:space="preserve"> Device is routed from the AIOTF to the AF based on the subscription from the AF.</w:t>
      </w:r>
    </w:p>
    <w:p w:rsidR="00714678" w:rsidRDefault="00714678" w:rsidP="00714678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  <w:t xml:space="preserve">The AF subscribes to the AIOTF (directly for the trusted AF, through NEF for the trusted AF) for the DO-A data from the </w:t>
      </w:r>
      <w:proofErr w:type="spellStart"/>
      <w:r>
        <w:rPr>
          <w:rFonts w:eastAsia="等线"/>
          <w:lang w:eastAsia="en-US"/>
        </w:rPr>
        <w:t>AIoT</w:t>
      </w:r>
      <w:proofErr w:type="spellEnd"/>
      <w:r>
        <w:rPr>
          <w:rFonts w:eastAsia="等线"/>
          <w:lang w:eastAsia="en-US"/>
        </w:rPr>
        <w:t xml:space="preserve"> Device.</w:t>
      </w:r>
    </w:p>
    <w:p w:rsidR="00714678" w:rsidRDefault="00714678" w:rsidP="00714678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  <w:t>The AIOTF authorizes the subscription request from the AF.</w:t>
      </w:r>
    </w:p>
    <w:p w:rsidR="00714678" w:rsidRDefault="00714678" w:rsidP="00714678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  <w:t xml:space="preserve">The AIOTF interacts with the ADM to store and manage the subscription information for the DO-A data from the </w:t>
      </w:r>
      <w:proofErr w:type="spellStart"/>
      <w:r>
        <w:rPr>
          <w:rFonts w:eastAsia="等线"/>
          <w:lang w:eastAsia="en-US"/>
        </w:rPr>
        <w:t>AIoT</w:t>
      </w:r>
      <w:proofErr w:type="spellEnd"/>
      <w:r>
        <w:rPr>
          <w:rFonts w:eastAsia="等线"/>
          <w:lang w:eastAsia="en-US"/>
        </w:rPr>
        <w:t xml:space="preserve"> Device.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6F1" w:rsidRDefault="002276F1">
      <w:r>
        <w:separator/>
      </w:r>
    </w:p>
    <w:p w:rsidR="002276F1" w:rsidRDefault="002276F1"/>
  </w:endnote>
  <w:endnote w:type="continuationSeparator" w:id="0">
    <w:p w:rsidR="002276F1" w:rsidRDefault="002276F1">
      <w:r>
        <w:continuationSeparator/>
      </w:r>
    </w:p>
    <w:p w:rsidR="002276F1" w:rsidRDefault="00227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2405F" w:rsidRDefault="002240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2405F" w:rsidRDefault="002240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6F1" w:rsidRDefault="002276F1">
      <w:r>
        <w:separator/>
      </w:r>
    </w:p>
    <w:p w:rsidR="002276F1" w:rsidRDefault="002276F1"/>
  </w:footnote>
  <w:footnote w:type="continuationSeparator" w:id="0">
    <w:p w:rsidR="002276F1" w:rsidRDefault="002276F1">
      <w:r>
        <w:continuationSeparator/>
      </w:r>
    </w:p>
    <w:p w:rsidR="002276F1" w:rsidRDefault="002276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/>
  <w:p w:rsidR="0022405F" w:rsidRDefault="002240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Pr="00D04754" w:rsidRDefault="002240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2405F" w:rsidRPr="00D04754" w:rsidRDefault="002240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56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2405F" w:rsidRPr="00D04754" w:rsidRDefault="002240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2CE462E6"/>
    <w:multiLevelType w:val="hybridMultilevel"/>
    <w:tmpl w:val="909ACDCA"/>
    <w:lvl w:ilvl="0" w:tplc="2BAE1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2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5" w15:restartNumberingAfterBreak="0">
    <w:nsid w:val="78035245"/>
    <w:multiLevelType w:val="hybridMultilevel"/>
    <w:tmpl w:val="CC6AACD4"/>
    <w:lvl w:ilvl="0" w:tplc="525860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30"/>
  </w:num>
  <w:num w:numId="3">
    <w:abstractNumId w:val="37"/>
  </w:num>
  <w:num w:numId="4">
    <w:abstractNumId w:val="27"/>
  </w:num>
  <w:num w:numId="5">
    <w:abstractNumId w:val="39"/>
  </w:num>
  <w:num w:numId="6">
    <w:abstractNumId w:val="11"/>
  </w:num>
  <w:num w:numId="7">
    <w:abstractNumId w:val="38"/>
  </w:num>
  <w:num w:numId="8">
    <w:abstractNumId w:val="31"/>
  </w:num>
  <w:num w:numId="9">
    <w:abstractNumId w:val="43"/>
  </w:num>
  <w:num w:numId="10">
    <w:abstractNumId w:val="15"/>
  </w:num>
  <w:num w:numId="11">
    <w:abstractNumId w:val="40"/>
  </w:num>
  <w:num w:numId="12">
    <w:abstractNumId w:val="18"/>
  </w:num>
  <w:num w:numId="13">
    <w:abstractNumId w:val="17"/>
  </w:num>
  <w:num w:numId="14">
    <w:abstractNumId w:val="10"/>
  </w:num>
  <w:num w:numId="15">
    <w:abstractNumId w:val="28"/>
  </w:num>
  <w:num w:numId="16">
    <w:abstractNumId w:val="33"/>
  </w:num>
  <w:num w:numId="17">
    <w:abstractNumId w:val="41"/>
  </w:num>
  <w:num w:numId="18">
    <w:abstractNumId w:val="34"/>
  </w:num>
  <w:num w:numId="19">
    <w:abstractNumId w:val="20"/>
  </w:num>
  <w:num w:numId="20">
    <w:abstractNumId w:val="29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16"/>
  </w:num>
  <w:num w:numId="34">
    <w:abstractNumId w:val="23"/>
  </w:num>
  <w:num w:numId="35">
    <w:abstractNumId w:val="32"/>
  </w:num>
  <w:num w:numId="36">
    <w:abstractNumId w:val="44"/>
  </w:num>
  <w:num w:numId="37">
    <w:abstractNumId w:val="14"/>
  </w:num>
  <w:num w:numId="38">
    <w:abstractNumId w:val="42"/>
  </w:num>
  <w:num w:numId="39">
    <w:abstractNumId w:val="22"/>
  </w:num>
  <w:num w:numId="40">
    <w:abstractNumId w:val="24"/>
  </w:num>
  <w:num w:numId="41">
    <w:abstractNumId w:val="35"/>
  </w:num>
  <w:num w:numId="42">
    <w:abstractNumId w:val="21"/>
  </w:num>
  <w:num w:numId="43">
    <w:abstractNumId w:val="26"/>
  </w:num>
  <w:num w:numId="44">
    <w:abstractNumId w:val="19"/>
  </w:num>
  <w:num w:numId="45">
    <w:abstractNumId w:val="45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50D4"/>
    <w:rsid w:val="00016882"/>
    <w:rsid w:val="00016E2A"/>
    <w:rsid w:val="00017181"/>
    <w:rsid w:val="000222BA"/>
    <w:rsid w:val="0002344F"/>
    <w:rsid w:val="000234CA"/>
    <w:rsid w:val="00024209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2ED9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034D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5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405F"/>
    <w:rsid w:val="00226382"/>
    <w:rsid w:val="002268FA"/>
    <w:rsid w:val="0022756F"/>
    <w:rsid w:val="002276F1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24F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8D5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0FFD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C74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5838"/>
    <w:rsid w:val="0031675C"/>
    <w:rsid w:val="00316844"/>
    <w:rsid w:val="00316B7C"/>
    <w:rsid w:val="0031714C"/>
    <w:rsid w:val="00320990"/>
    <w:rsid w:val="00321BED"/>
    <w:rsid w:val="00321D73"/>
    <w:rsid w:val="00322D9A"/>
    <w:rsid w:val="00323097"/>
    <w:rsid w:val="003235BF"/>
    <w:rsid w:val="00324A33"/>
    <w:rsid w:val="00326B2C"/>
    <w:rsid w:val="00327338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879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3B05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303"/>
    <w:rsid w:val="00372A0B"/>
    <w:rsid w:val="00372D86"/>
    <w:rsid w:val="00373960"/>
    <w:rsid w:val="00374578"/>
    <w:rsid w:val="003749DF"/>
    <w:rsid w:val="0037542F"/>
    <w:rsid w:val="00375F40"/>
    <w:rsid w:val="003764E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171"/>
    <w:rsid w:val="004E3343"/>
    <w:rsid w:val="004E33B9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0AAA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2DDC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4A2B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4C80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42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5FDE"/>
    <w:rsid w:val="00656FB6"/>
    <w:rsid w:val="00657151"/>
    <w:rsid w:val="006575F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6F65"/>
    <w:rsid w:val="006778E1"/>
    <w:rsid w:val="00680D11"/>
    <w:rsid w:val="006824BD"/>
    <w:rsid w:val="0068346C"/>
    <w:rsid w:val="006840A4"/>
    <w:rsid w:val="0068487E"/>
    <w:rsid w:val="00684EEF"/>
    <w:rsid w:val="006864CA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3DB"/>
    <w:rsid w:val="006B754E"/>
    <w:rsid w:val="006C06BC"/>
    <w:rsid w:val="006C09D7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4E74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678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0DC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07D18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398D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27CB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0D4A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248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1781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4795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6A9F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D4C"/>
    <w:rsid w:val="00C35E45"/>
    <w:rsid w:val="00C35FFB"/>
    <w:rsid w:val="00C360C3"/>
    <w:rsid w:val="00C36B72"/>
    <w:rsid w:val="00C375FE"/>
    <w:rsid w:val="00C40AC0"/>
    <w:rsid w:val="00C40F02"/>
    <w:rsid w:val="00C416F6"/>
    <w:rsid w:val="00C423FD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1A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257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B7333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B1C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67A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2E4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BBC"/>
    <w:rsid w:val="00D81C83"/>
    <w:rsid w:val="00D81E16"/>
    <w:rsid w:val="00D82197"/>
    <w:rsid w:val="00D823D8"/>
    <w:rsid w:val="00D8258C"/>
    <w:rsid w:val="00D8273A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29AD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87206"/>
    <w:rsid w:val="00E9036C"/>
    <w:rsid w:val="00E90FC5"/>
    <w:rsid w:val="00E92372"/>
    <w:rsid w:val="00E92AC4"/>
    <w:rsid w:val="00E94214"/>
    <w:rsid w:val="00E94E62"/>
    <w:rsid w:val="00E95AFF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B7DAD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257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1CC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E19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EB2F5-39E2-4B92-888C-418D2459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414</cp:revision>
  <cp:lastPrinted>2017-01-31T11:04:00Z</cp:lastPrinted>
  <dcterms:created xsi:type="dcterms:W3CDTF">2023-10-30T07:08:00Z</dcterms:created>
  <dcterms:modified xsi:type="dcterms:W3CDTF">2025-11-06T16:18:00Z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